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agliano de' Marsi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